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288" w:rsidRPr="00C83643" w:rsidRDefault="00C83643" w:rsidP="00C83643">
      <w:pPr>
        <w:pStyle w:val="Heading1"/>
        <w:ind w:right="183"/>
        <w:jc w:val="right"/>
        <w:rPr>
          <w:rFonts w:ascii="Arial" w:hAnsi="Arial" w:cs="Arial"/>
          <w:color w:val="0070C0"/>
          <w:sz w:val="20"/>
          <w:szCs w:val="20"/>
        </w:rPr>
      </w:pPr>
      <w:r w:rsidRPr="00C83643">
        <w:rPr>
          <w:rFonts w:ascii="Arial" w:hAnsi="Arial" w:cs="Arial"/>
          <w:color w:val="0070C0"/>
          <w:sz w:val="20"/>
          <w:szCs w:val="20"/>
        </w:rPr>
        <w:t>Ref: GJF/2018/06/22</w:t>
      </w:r>
    </w:p>
    <w:p w:rsidR="00C83643" w:rsidRPr="00C83643" w:rsidRDefault="00C83643" w:rsidP="00C83643"/>
    <w:p w:rsidR="006B0288" w:rsidRPr="003D5F12" w:rsidRDefault="00C83643" w:rsidP="006B0288">
      <w:pPr>
        <w:pStyle w:val="Heading1"/>
        <w:ind w:right="183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noProof/>
          <w:sz w:val="24"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4400550</wp:posOffset>
            </wp:positionH>
            <wp:positionV relativeFrom="paragraph">
              <wp:posOffset>78105</wp:posOffset>
            </wp:positionV>
            <wp:extent cx="1388110" cy="1390650"/>
            <wp:effectExtent l="19050" t="0" r="2540" b="0"/>
            <wp:wrapSquare wrapText="bothSides"/>
            <wp:docPr id="6" name="Picture 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JF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4378">
        <w:rPr>
          <w:rFonts w:ascii="Arial" w:hAnsi="Arial" w:cs="Arial"/>
          <w:sz w:val="24"/>
        </w:rPr>
        <w:t>Board Meeting:</w:t>
      </w:r>
      <w:r w:rsidR="006B0288" w:rsidRPr="003D5F12">
        <w:rPr>
          <w:rFonts w:ascii="Arial" w:hAnsi="Arial" w:cs="Arial"/>
          <w:sz w:val="24"/>
        </w:rPr>
        <w:tab/>
      </w:r>
      <w:r w:rsidR="006B0288" w:rsidRPr="003D5F12">
        <w:rPr>
          <w:rFonts w:ascii="Arial" w:hAnsi="Arial" w:cs="Arial"/>
          <w:sz w:val="24"/>
        </w:rPr>
        <w:tab/>
      </w:r>
      <w:r w:rsidR="00C04378" w:rsidRPr="00C04378">
        <w:rPr>
          <w:rFonts w:ascii="Arial" w:hAnsi="Arial" w:cs="Arial"/>
          <w:b w:val="0"/>
          <w:sz w:val="24"/>
        </w:rPr>
        <w:t>21</w:t>
      </w:r>
      <w:r w:rsidR="000903F8">
        <w:rPr>
          <w:rFonts w:ascii="Arial" w:hAnsi="Arial" w:cs="Arial"/>
          <w:b w:val="0"/>
          <w:sz w:val="24"/>
        </w:rPr>
        <w:t xml:space="preserve"> </w:t>
      </w:r>
      <w:r w:rsidR="006B0288">
        <w:rPr>
          <w:rFonts w:ascii="Arial" w:hAnsi="Arial" w:cs="Arial"/>
          <w:b w:val="0"/>
          <w:sz w:val="24"/>
        </w:rPr>
        <w:t>June</w:t>
      </w:r>
      <w:r w:rsidR="006B0288" w:rsidRPr="003D5F12">
        <w:rPr>
          <w:rFonts w:ascii="Arial" w:hAnsi="Arial" w:cs="Arial"/>
          <w:b w:val="0"/>
          <w:sz w:val="24"/>
        </w:rPr>
        <w:t xml:space="preserve"> 201</w:t>
      </w:r>
      <w:r w:rsidR="000903F8">
        <w:rPr>
          <w:rFonts w:ascii="Arial" w:hAnsi="Arial" w:cs="Arial"/>
          <w:b w:val="0"/>
          <w:sz w:val="24"/>
        </w:rPr>
        <w:t>8</w:t>
      </w:r>
      <w:r w:rsidR="00C04378">
        <w:rPr>
          <w:rFonts w:ascii="Arial" w:hAnsi="Arial" w:cs="Arial"/>
          <w:b w:val="0"/>
          <w:sz w:val="24"/>
        </w:rPr>
        <w:br/>
      </w:r>
      <w:r w:rsidR="006B0288" w:rsidRPr="003D5F12">
        <w:rPr>
          <w:rFonts w:ascii="Arial" w:hAnsi="Arial" w:cs="Arial"/>
          <w:b w:val="0"/>
          <w:sz w:val="24"/>
        </w:rPr>
        <w:tab/>
      </w:r>
    </w:p>
    <w:p w:rsidR="006B0288" w:rsidRPr="00682309" w:rsidRDefault="006B0288" w:rsidP="006B0288">
      <w:pPr>
        <w:ind w:left="2880" w:right="183" w:hanging="2880"/>
        <w:rPr>
          <w:rFonts w:ascii="Arial" w:hAnsi="Arial" w:cs="Arial"/>
        </w:rPr>
      </w:pPr>
      <w:r w:rsidRPr="00682309">
        <w:rPr>
          <w:rFonts w:ascii="Arial" w:hAnsi="Arial" w:cs="Arial"/>
          <w:b/>
          <w:bCs/>
        </w:rPr>
        <w:t xml:space="preserve">Subject: </w:t>
      </w:r>
      <w:r w:rsidRPr="00682309"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Statement of Assurance from the Audit and Risk Committee to the Board.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6B0288" w:rsidRPr="00682309" w:rsidRDefault="006B0288" w:rsidP="006B0288">
      <w:pPr>
        <w:ind w:right="183"/>
        <w:rPr>
          <w:rFonts w:ascii="Arial" w:hAnsi="Arial" w:cs="Arial"/>
          <w:b/>
          <w:bCs/>
        </w:rPr>
      </w:pPr>
      <w:r w:rsidRPr="00682309">
        <w:rPr>
          <w:rFonts w:ascii="Arial" w:hAnsi="Arial" w:cs="Arial"/>
          <w:b/>
          <w:bCs/>
        </w:rPr>
        <w:tab/>
      </w:r>
    </w:p>
    <w:p w:rsidR="006B0288" w:rsidRPr="006F4D95" w:rsidRDefault="006B0288" w:rsidP="006B0288">
      <w:pPr>
        <w:ind w:left="2880" w:right="183" w:hanging="2880"/>
      </w:pPr>
      <w:r w:rsidRPr="00682309">
        <w:rPr>
          <w:rFonts w:ascii="Arial" w:hAnsi="Arial" w:cs="Arial"/>
          <w:b/>
          <w:bCs/>
        </w:rPr>
        <w:t>Recommendation:</w:t>
      </w:r>
      <w:r w:rsidRPr="00682309"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 xml:space="preserve">Members are asked to </w:t>
      </w:r>
      <w:r w:rsidR="00794FF0">
        <w:rPr>
          <w:rFonts w:ascii="Arial" w:hAnsi="Arial" w:cs="Arial"/>
        </w:rPr>
        <w:t>note</w:t>
      </w:r>
      <w:r>
        <w:rPr>
          <w:rFonts w:ascii="Arial" w:hAnsi="Arial" w:cs="Arial"/>
        </w:rPr>
        <w:t xml:space="preserve"> the attached statement</w:t>
      </w:r>
    </w:p>
    <w:p w:rsidR="006B0288" w:rsidRPr="006071D7" w:rsidRDefault="00947EF2" w:rsidP="006B0288">
      <w:pPr>
        <w:rPr>
          <w:rFonts w:ascii="Arial" w:hAnsi="Arial" w:cs="Arial"/>
          <w:sz w:val="20"/>
          <w:szCs w:val="20"/>
        </w:rPr>
      </w:pPr>
      <w:r w:rsidRPr="00947EF2">
        <w:rPr>
          <w:noProof/>
          <w:sz w:val="20"/>
          <w:szCs w:val="20"/>
          <w:lang w:eastAsia="en-GB"/>
        </w:rPr>
        <w:pict>
          <v:line id="_x0000_s1026" style="position:absolute;z-index:251660288" from="0,8.1pt" to="453.75pt,8.1pt" strokeweight="1.5pt"/>
        </w:pict>
      </w:r>
    </w:p>
    <w:p w:rsidR="006B0288" w:rsidRDefault="006B0288">
      <w:pPr>
        <w:pStyle w:val="Heading1"/>
        <w:rPr>
          <w:rFonts w:ascii="Arial" w:hAnsi="Arial" w:cs="Arial"/>
          <w:sz w:val="24"/>
        </w:rPr>
      </w:pPr>
    </w:p>
    <w:p w:rsidR="00FC6738" w:rsidRDefault="00FC6738">
      <w:pPr>
        <w:pStyle w:val="BodyTextIndent2"/>
        <w:ind w:left="0"/>
        <w:rPr>
          <w:rFonts w:ascii="Arial" w:hAnsi="Arial" w:cs="Arial"/>
          <w:sz w:val="16"/>
        </w:rPr>
      </w:pPr>
    </w:p>
    <w:p w:rsidR="00FC6738" w:rsidRDefault="00FC6738">
      <w:pPr>
        <w:pStyle w:val="Heading4"/>
        <w:rPr>
          <w:rFonts w:ascii="Arial" w:hAnsi="Arial" w:cs="Arial"/>
        </w:rPr>
      </w:pPr>
      <w:r>
        <w:rPr>
          <w:rFonts w:ascii="Arial" w:hAnsi="Arial" w:cs="Arial"/>
        </w:rPr>
        <w:t>Introduction</w:t>
      </w:r>
    </w:p>
    <w:p w:rsidR="00FC6738" w:rsidRDefault="00FC6738">
      <w:pPr>
        <w:pStyle w:val="Footer"/>
        <w:tabs>
          <w:tab w:val="clear" w:pos="4153"/>
          <w:tab w:val="clear" w:pos="8306"/>
        </w:tabs>
        <w:jc w:val="both"/>
        <w:rPr>
          <w:rFonts w:ascii="Arial" w:hAnsi="Arial" w:cs="Arial"/>
          <w:sz w:val="16"/>
        </w:rPr>
      </w:pPr>
    </w:p>
    <w:p w:rsidR="00FC6738" w:rsidRDefault="00FC6738" w:rsidP="0088014E">
      <w:pPr>
        <w:pStyle w:val="BodyTextIndent2"/>
        <w:jc w:val="left"/>
        <w:rPr>
          <w:rFonts w:ascii="Arial" w:hAnsi="Arial" w:cs="Arial"/>
        </w:rPr>
      </w:pPr>
      <w:r>
        <w:rPr>
          <w:rFonts w:ascii="Arial" w:hAnsi="Arial" w:cs="Arial"/>
        </w:rPr>
        <w:t>The attached</w:t>
      </w:r>
      <w:r w:rsidR="00C83643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tatement of </w:t>
      </w:r>
      <w:r w:rsidR="00C83643">
        <w:rPr>
          <w:rFonts w:ascii="Arial" w:hAnsi="Arial" w:cs="Arial"/>
        </w:rPr>
        <w:t>A</w:t>
      </w:r>
      <w:r>
        <w:rPr>
          <w:rFonts w:ascii="Arial" w:hAnsi="Arial" w:cs="Arial"/>
        </w:rPr>
        <w:t>ssurance from the Audit</w:t>
      </w:r>
      <w:r w:rsidR="000E0739">
        <w:rPr>
          <w:rFonts w:ascii="Arial" w:hAnsi="Arial" w:cs="Arial"/>
        </w:rPr>
        <w:t xml:space="preserve"> and Risk</w:t>
      </w:r>
      <w:r>
        <w:rPr>
          <w:rFonts w:ascii="Arial" w:hAnsi="Arial" w:cs="Arial"/>
        </w:rPr>
        <w:t xml:space="preserve"> Committee to the Board provides detail of the work overseen by the Audit </w:t>
      </w:r>
      <w:r w:rsidR="000E0739">
        <w:rPr>
          <w:rFonts w:ascii="Arial" w:hAnsi="Arial" w:cs="Arial"/>
        </w:rPr>
        <w:t xml:space="preserve">and Risk </w:t>
      </w:r>
      <w:r>
        <w:rPr>
          <w:rFonts w:ascii="Arial" w:hAnsi="Arial" w:cs="Arial"/>
        </w:rPr>
        <w:t>Committee during the year with regard to the internal control environment and governance arrangements</w:t>
      </w:r>
      <w:r w:rsidR="00B90498">
        <w:rPr>
          <w:rFonts w:ascii="Arial" w:hAnsi="Arial" w:cs="Arial"/>
        </w:rPr>
        <w:t xml:space="preserve"> within the Board</w:t>
      </w:r>
      <w:r>
        <w:rPr>
          <w:rFonts w:ascii="Arial" w:hAnsi="Arial" w:cs="Arial"/>
        </w:rPr>
        <w:t xml:space="preserve">.  </w:t>
      </w:r>
    </w:p>
    <w:p w:rsidR="00FC6738" w:rsidRDefault="00C83643" w:rsidP="00C83643">
      <w:pPr>
        <w:pStyle w:val="BodyTextIndent2"/>
        <w:tabs>
          <w:tab w:val="left" w:pos="6795"/>
        </w:tabs>
        <w:jc w:val="lef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C6738" w:rsidRDefault="00FC6738" w:rsidP="0088014E">
      <w:pPr>
        <w:pStyle w:val="BodyTextIndent2"/>
        <w:jc w:val="left"/>
        <w:rPr>
          <w:rFonts w:ascii="Arial" w:hAnsi="Arial" w:cs="Arial"/>
        </w:rPr>
      </w:pPr>
      <w:r>
        <w:rPr>
          <w:rFonts w:ascii="Arial" w:hAnsi="Arial" w:cs="Arial"/>
        </w:rPr>
        <w:t>The statement details that the Audit</w:t>
      </w:r>
      <w:r w:rsidR="000E0739">
        <w:rPr>
          <w:rFonts w:ascii="Arial" w:hAnsi="Arial" w:cs="Arial"/>
        </w:rPr>
        <w:t xml:space="preserve"> and Risk</w:t>
      </w:r>
      <w:r>
        <w:rPr>
          <w:rFonts w:ascii="Arial" w:hAnsi="Arial" w:cs="Arial"/>
        </w:rPr>
        <w:t xml:space="preserve"> Committee </w:t>
      </w:r>
      <w:r w:rsidR="00C83643">
        <w:rPr>
          <w:rFonts w:ascii="Arial" w:hAnsi="Arial" w:cs="Arial"/>
        </w:rPr>
        <w:t>is</w:t>
      </w:r>
      <w:r>
        <w:rPr>
          <w:rFonts w:ascii="Arial" w:hAnsi="Arial" w:cs="Arial"/>
        </w:rPr>
        <w:t xml:space="preserve"> satisfied with the arrangements within the Board with regard to the internal control framework.</w:t>
      </w:r>
      <w:r w:rsidR="00006949">
        <w:rPr>
          <w:rFonts w:ascii="Arial" w:hAnsi="Arial" w:cs="Arial"/>
        </w:rPr>
        <w:br/>
        <w:t>The statement was approved at the Audit and Risk Committee meeting on 12 June 2018.</w:t>
      </w:r>
      <w:r w:rsidR="00C04378">
        <w:rPr>
          <w:rFonts w:ascii="Arial" w:hAnsi="Arial" w:cs="Arial"/>
        </w:rPr>
        <w:br/>
      </w:r>
    </w:p>
    <w:p w:rsidR="00FC6738" w:rsidRDefault="00FC6738" w:rsidP="0088014E">
      <w:pPr>
        <w:pStyle w:val="BodyTextIndent2"/>
        <w:ind w:left="0"/>
        <w:jc w:val="left"/>
        <w:rPr>
          <w:rFonts w:ascii="Arial" w:hAnsi="Arial" w:cs="Arial"/>
          <w:sz w:val="16"/>
          <w:szCs w:val="22"/>
        </w:rPr>
      </w:pPr>
    </w:p>
    <w:p w:rsidR="00FC6738" w:rsidRDefault="00FC6738" w:rsidP="0088014E">
      <w:pPr>
        <w:pStyle w:val="Heading4"/>
        <w:rPr>
          <w:rFonts w:ascii="Arial" w:hAnsi="Arial" w:cs="Arial"/>
        </w:rPr>
      </w:pPr>
      <w:r>
        <w:rPr>
          <w:rFonts w:ascii="Arial" w:hAnsi="Arial" w:cs="Arial"/>
        </w:rPr>
        <w:t>Conclusion</w:t>
      </w:r>
    </w:p>
    <w:p w:rsidR="00FC6738" w:rsidRDefault="00FC6738" w:rsidP="0088014E">
      <w:pPr>
        <w:rPr>
          <w:rFonts w:ascii="Arial" w:hAnsi="Arial" w:cs="Arial"/>
          <w:b/>
          <w:bCs/>
          <w:sz w:val="16"/>
          <w:szCs w:val="20"/>
        </w:rPr>
      </w:pPr>
    </w:p>
    <w:p w:rsidR="00FC6738" w:rsidRDefault="00FC6738" w:rsidP="0088014E">
      <w:pPr>
        <w:pStyle w:val="BodyTextIndent2"/>
        <w:jc w:val="left"/>
        <w:rPr>
          <w:rFonts w:ascii="Arial" w:hAnsi="Arial" w:cs="Arial"/>
          <w:bCs w:val="0"/>
          <w:iCs w:val="0"/>
        </w:rPr>
      </w:pPr>
      <w:r>
        <w:rPr>
          <w:rFonts w:ascii="Arial" w:hAnsi="Arial" w:cs="Arial"/>
          <w:bCs w:val="0"/>
          <w:iCs w:val="0"/>
        </w:rPr>
        <w:t xml:space="preserve">Members are asked to </w:t>
      </w:r>
      <w:r w:rsidR="00794FF0">
        <w:rPr>
          <w:rFonts w:ascii="Arial" w:hAnsi="Arial" w:cs="Arial"/>
          <w:bCs w:val="0"/>
          <w:iCs w:val="0"/>
        </w:rPr>
        <w:t>note</w:t>
      </w:r>
      <w:r>
        <w:rPr>
          <w:rFonts w:ascii="Arial" w:hAnsi="Arial" w:cs="Arial"/>
          <w:bCs w:val="0"/>
          <w:iCs w:val="0"/>
        </w:rPr>
        <w:t xml:space="preserve"> the Statement of Assurance from the Audit </w:t>
      </w:r>
      <w:r w:rsidR="000E0739">
        <w:rPr>
          <w:rFonts w:ascii="Arial" w:hAnsi="Arial" w:cs="Arial"/>
          <w:bCs w:val="0"/>
          <w:iCs w:val="0"/>
        </w:rPr>
        <w:t xml:space="preserve">and Risk </w:t>
      </w:r>
      <w:r>
        <w:rPr>
          <w:rFonts w:ascii="Arial" w:hAnsi="Arial" w:cs="Arial"/>
          <w:bCs w:val="0"/>
          <w:iCs w:val="0"/>
        </w:rPr>
        <w:t>Committee to the Board.</w:t>
      </w:r>
    </w:p>
    <w:p w:rsidR="00914AEF" w:rsidRDefault="00914AEF" w:rsidP="0088014E">
      <w:pPr>
        <w:pStyle w:val="BodyTextIndent2"/>
        <w:jc w:val="left"/>
        <w:rPr>
          <w:rFonts w:ascii="Arial" w:hAnsi="Arial" w:cs="Arial"/>
          <w:b/>
          <w:bCs w:val="0"/>
          <w:iCs w:val="0"/>
        </w:rPr>
      </w:pPr>
    </w:p>
    <w:p w:rsidR="00FC6738" w:rsidRDefault="0088014E">
      <w:pPr>
        <w:rPr>
          <w:rFonts w:ascii="Arial" w:hAnsi="Arial" w:cs="Arial"/>
          <w:b/>
          <w:bCs/>
          <w:sz w:val="16"/>
          <w:szCs w:val="20"/>
        </w:rPr>
      </w:pPr>
      <w:r>
        <w:rPr>
          <w:rFonts w:ascii="Arial" w:hAnsi="Arial" w:cs="Arial"/>
          <w:b/>
          <w:bCs/>
          <w:sz w:val="16"/>
          <w:szCs w:val="20"/>
        </w:rPr>
        <w:br/>
      </w:r>
      <w:r>
        <w:rPr>
          <w:rFonts w:ascii="Arial" w:hAnsi="Arial" w:cs="Arial"/>
          <w:b/>
          <w:bCs/>
          <w:sz w:val="16"/>
          <w:szCs w:val="20"/>
        </w:rPr>
        <w:br/>
      </w:r>
      <w:r>
        <w:rPr>
          <w:rFonts w:ascii="Arial" w:hAnsi="Arial" w:cs="Arial"/>
          <w:b/>
          <w:bCs/>
          <w:sz w:val="16"/>
          <w:szCs w:val="20"/>
        </w:rPr>
        <w:br/>
      </w:r>
    </w:p>
    <w:p w:rsidR="00FC6738" w:rsidRDefault="000903F8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>Karen Kelly</w:t>
      </w:r>
    </w:p>
    <w:p w:rsidR="00FC6738" w:rsidRDefault="00FC673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Chair of the Audit </w:t>
      </w:r>
      <w:r w:rsidR="000E0739">
        <w:rPr>
          <w:rFonts w:ascii="Arial" w:hAnsi="Arial" w:cs="Arial"/>
          <w:b/>
          <w:bCs/>
        </w:rPr>
        <w:t xml:space="preserve">and Risk </w:t>
      </w:r>
      <w:r>
        <w:rPr>
          <w:rFonts w:ascii="Arial" w:hAnsi="Arial" w:cs="Arial"/>
          <w:b/>
          <w:bCs/>
        </w:rPr>
        <w:t>Committee</w:t>
      </w:r>
    </w:p>
    <w:p w:rsidR="00FC6738" w:rsidRDefault="00C0437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13</w:t>
      </w:r>
      <w:r w:rsidR="000903F8">
        <w:rPr>
          <w:rFonts w:ascii="Arial" w:hAnsi="Arial" w:cs="Arial"/>
          <w:b/>
          <w:bCs/>
        </w:rPr>
        <w:t xml:space="preserve"> </w:t>
      </w:r>
      <w:r w:rsidR="00B90498">
        <w:rPr>
          <w:rFonts w:ascii="Arial" w:hAnsi="Arial" w:cs="Arial"/>
          <w:b/>
          <w:bCs/>
        </w:rPr>
        <w:t>June 201</w:t>
      </w:r>
      <w:r w:rsidR="00006949">
        <w:rPr>
          <w:rFonts w:ascii="Arial" w:hAnsi="Arial" w:cs="Arial"/>
          <w:b/>
          <w:bCs/>
        </w:rPr>
        <w:t>8</w:t>
      </w:r>
    </w:p>
    <w:p w:rsidR="00FC6738" w:rsidRDefault="00FC6738">
      <w:pPr>
        <w:rPr>
          <w:rFonts w:ascii="Arial" w:hAnsi="Arial" w:cs="Arial"/>
          <w:b/>
          <w:bCs/>
          <w:i/>
          <w:iCs/>
        </w:rPr>
      </w:pPr>
    </w:p>
    <w:p w:rsidR="00AC360C" w:rsidRPr="00C83643" w:rsidRDefault="00C83643">
      <w:pPr>
        <w:rPr>
          <w:rFonts w:ascii="Arial" w:hAnsi="Arial" w:cs="Arial"/>
          <w:b/>
        </w:rPr>
      </w:pPr>
      <w:r w:rsidRPr="00C83643">
        <w:rPr>
          <w:rFonts w:ascii="Arial" w:hAnsi="Arial" w:cs="Arial"/>
          <w:b/>
        </w:rPr>
        <w:t>(</w:t>
      </w:r>
      <w:r w:rsidR="00FC6738" w:rsidRPr="00C83643">
        <w:rPr>
          <w:rFonts w:ascii="Arial" w:hAnsi="Arial" w:cs="Arial"/>
          <w:b/>
        </w:rPr>
        <w:t>Lily Bryson</w:t>
      </w:r>
      <w:r w:rsidRPr="00C83643">
        <w:rPr>
          <w:rFonts w:ascii="Arial" w:hAnsi="Arial" w:cs="Arial"/>
          <w:b/>
        </w:rPr>
        <w:t xml:space="preserve">, </w:t>
      </w:r>
      <w:r w:rsidR="00FC6738" w:rsidRPr="00C83643">
        <w:rPr>
          <w:rFonts w:ascii="Arial" w:hAnsi="Arial" w:cs="Arial"/>
          <w:b/>
        </w:rPr>
        <w:t>Assistant Director of Finance</w:t>
      </w:r>
      <w:r w:rsidR="00D119BB" w:rsidRPr="00C83643">
        <w:rPr>
          <w:rFonts w:ascii="Arial" w:hAnsi="Arial" w:cs="Arial"/>
          <w:b/>
        </w:rPr>
        <w:t xml:space="preserve"> – Governance and Financial Accounting</w:t>
      </w:r>
      <w:r w:rsidRPr="00C83643">
        <w:rPr>
          <w:rFonts w:ascii="Arial" w:hAnsi="Arial" w:cs="Arial"/>
          <w:b/>
        </w:rPr>
        <w:t>)</w:t>
      </w:r>
    </w:p>
    <w:p w:rsidR="00FC6738" w:rsidRDefault="00FC6738" w:rsidP="00CB1D07">
      <w:pPr>
        <w:pStyle w:val="Heading1"/>
        <w:rPr>
          <w:rFonts w:ascii="Arial" w:hAnsi="Arial" w:cs="Arial"/>
        </w:rPr>
      </w:pPr>
    </w:p>
    <w:sectPr w:rsidR="00FC6738" w:rsidSect="0088014E">
      <w:footerReference w:type="even" r:id="rId9"/>
      <w:footerReference w:type="default" r:id="rId10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E73" w:rsidRDefault="00FD2E73">
      <w:r>
        <w:separator/>
      </w:r>
    </w:p>
  </w:endnote>
  <w:endnote w:type="continuationSeparator" w:id="0">
    <w:p w:rsidR="00FD2E73" w:rsidRDefault="00FD2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F8" w:rsidRDefault="00947EF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903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03F8" w:rsidRDefault="000903F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643" w:rsidRPr="00513DB0" w:rsidRDefault="00C83643" w:rsidP="00C83643">
    <w:pPr>
      <w:ind w:hanging="284"/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C83643" w:rsidRDefault="00C83643" w:rsidP="00C83643">
    <w:pPr>
      <w:ind w:right="184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18"/>
        <w:szCs w:val="18"/>
        <w:lang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5381625</wp:posOffset>
          </wp:positionH>
          <wp:positionV relativeFrom="paragraph">
            <wp:posOffset>72390</wp:posOffset>
          </wp:positionV>
          <wp:extent cx="514350" cy="342900"/>
          <wp:effectExtent l="19050" t="0" r="0" b="0"/>
          <wp:wrapNone/>
          <wp:docPr id="2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83643" w:rsidRPr="008F5DB5" w:rsidRDefault="00C83643" w:rsidP="00C83643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0903F8" w:rsidRPr="00C83643" w:rsidRDefault="00C83643" w:rsidP="00C83643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E73" w:rsidRDefault="00FD2E73">
      <w:r>
        <w:separator/>
      </w:r>
    </w:p>
  </w:footnote>
  <w:footnote w:type="continuationSeparator" w:id="0">
    <w:p w:rsidR="00FD2E73" w:rsidRDefault="00FD2E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063AD"/>
    <w:multiLevelType w:val="multilevel"/>
    <w:tmpl w:val="553093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19546684"/>
    <w:multiLevelType w:val="hybridMultilevel"/>
    <w:tmpl w:val="8716D832"/>
    <w:lvl w:ilvl="0" w:tplc="94949CB8">
      <w:start w:val="1"/>
      <w:numFmt w:val="decimal"/>
      <w:pStyle w:val="Heading4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B856FA8"/>
    <w:multiLevelType w:val="hybridMultilevel"/>
    <w:tmpl w:val="C13225B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AE1555"/>
    <w:multiLevelType w:val="hybridMultilevel"/>
    <w:tmpl w:val="22B0FEE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28D0BD5"/>
    <w:multiLevelType w:val="hybridMultilevel"/>
    <w:tmpl w:val="31E46A8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302CB6"/>
    <w:multiLevelType w:val="hybridMultilevel"/>
    <w:tmpl w:val="11CE5FD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995159"/>
    <w:multiLevelType w:val="hybridMultilevel"/>
    <w:tmpl w:val="F68E52E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49ED55BA"/>
    <w:multiLevelType w:val="hybridMultilevel"/>
    <w:tmpl w:val="18C0C41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FBF1E79"/>
    <w:multiLevelType w:val="hybridMultilevel"/>
    <w:tmpl w:val="A1C6DC0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0326500"/>
    <w:multiLevelType w:val="hybridMultilevel"/>
    <w:tmpl w:val="09C2CCB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840FD5"/>
    <w:multiLevelType w:val="hybridMultilevel"/>
    <w:tmpl w:val="1694A1A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4E2F2D"/>
    <w:multiLevelType w:val="hybridMultilevel"/>
    <w:tmpl w:val="36560B8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167CE6"/>
    <w:multiLevelType w:val="hybridMultilevel"/>
    <w:tmpl w:val="C8027D5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59609BB"/>
    <w:multiLevelType w:val="hybridMultilevel"/>
    <w:tmpl w:val="ED18778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A11663F"/>
    <w:multiLevelType w:val="hybridMultilevel"/>
    <w:tmpl w:val="ABF66D0C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B4E5647"/>
    <w:multiLevelType w:val="hybridMultilevel"/>
    <w:tmpl w:val="768C4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6DAC24C0"/>
    <w:multiLevelType w:val="hybridMultilevel"/>
    <w:tmpl w:val="4AA62FF0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F0275BD"/>
    <w:multiLevelType w:val="hybridMultilevel"/>
    <w:tmpl w:val="5DD8C15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0540967"/>
    <w:multiLevelType w:val="hybridMultilevel"/>
    <w:tmpl w:val="F68E52E8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2127667"/>
    <w:multiLevelType w:val="hybridMultilevel"/>
    <w:tmpl w:val="BF186B94"/>
    <w:lvl w:ilvl="0" w:tplc="76064186">
      <w:start w:val="5"/>
      <w:numFmt w:val="decimal"/>
      <w:pStyle w:val="Heading3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7"/>
  </w:num>
  <w:num w:numId="8">
    <w:abstractNumId w:val="8"/>
  </w:num>
  <w:num w:numId="9">
    <w:abstractNumId w:val="4"/>
  </w:num>
  <w:num w:numId="10">
    <w:abstractNumId w:val="1"/>
  </w:num>
  <w:num w:numId="11">
    <w:abstractNumId w:val="0"/>
  </w:num>
  <w:num w:numId="12">
    <w:abstractNumId w:val="1"/>
  </w:num>
  <w:num w:numId="13">
    <w:abstractNumId w:val="7"/>
  </w:num>
  <w:num w:numId="14">
    <w:abstractNumId w:val="5"/>
  </w:num>
  <w:num w:numId="15">
    <w:abstractNumId w:val="9"/>
  </w:num>
  <w:num w:numId="16">
    <w:abstractNumId w:val="16"/>
  </w:num>
  <w:num w:numId="17">
    <w:abstractNumId w:val="2"/>
  </w:num>
  <w:num w:numId="18">
    <w:abstractNumId w:val="10"/>
  </w:num>
  <w:num w:numId="19">
    <w:abstractNumId w:val="1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3"/>
  </w:num>
  <w:num w:numId="26">
    <w:abstractNumId w:val="1"/>
  </w:num>
  <w:num w:numId="27">
    <w:abstractNumId w:val="6"/>
  </w:num>
  <w:num w:numId="28">
    <w:abstractNumId w:val="18"/>
  </w:num>
  <w:num w:numId="29">
    <w:abstractNumId w:val="14"/>
  </w:num>
  <w:num w:numId="30">
    <w:abstractNumId w:val="15"/>
  </w:num>
  <w:num w:numId="31">
    <w:abstractNumId w:val="3"/>
  </w:num>
  <w:num w:numId="3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2C8A"/>
    <w:rsid w:val="00006949"/>
    <w:rsid w:val="00037BB7"/>
    <w:rsid w:val="00066E0C"/>
    <w:rsid w:val="000903F8"/>
    <w:rsid w:val="000C2ABF"/>
    <w:rsid w:val="000E0739"/>
    <w:rsid w:val="0013687F"/>
    <w:rsid w:val="001B604B"/>
    <w:rsid w:val="001D61B2"/>
    <w:rsid w:val="00230C7E"/>
    <w:rsid w:val="00253418"/>
    <w:rsid w:val="00263F7C"/>
    <w:rsid w:val="002E76F6"/>
    <w:rsid w:val="00316AF2"/>
    <w:rsid w:val="00317C1D"/>
    <w:rsid w:val="003B1378"/>
    <w:rsid w:val="003E1001"/>
    <w:rsid w:val="00514553"/>
    <w:rsid w:val="005D3251"/>
    <w:rsid w:val="00632CED"/>
    <w:rsid w:val="00650224"/>
    <w:rsid w:val="006509B6"/>
    <w:rsid w:val="00676110"/>
    <w:rsid w:val="00694CCF"/>
    <w:rsid w:val="0069700D"/>
    <w:rsid w:val="006B0288"/>
    <w:rsid w:val="00707664"/>
    <w:rsid w:val="00733E1C"/>
    <w:rsid w:val="00754C42"/>
    <w:rsid w:val="00794FF0"/>
    <w:rsid w:val="007A5A03"/>
    <w:rsid w:val="007B37C6"/>
    <w:rsid w:val="007D53C7"/>
    <w:rsid w:val="00827B55"/>
    <w:rsid w:val="0088014E"/>
    <w:rsid w:val="008A61D6"/>
    <w:rsid w:val="008A71F6"/>
    <w:rsid w:val="008C1050"/>
    <w:rsid w:val="008C264D"/>
    <w:rsid w:val="008E6B46"/>
    <w:rsid w:val="00902E5A"/>
    <w:rsid w:val="00914AEF"/>
    <w:rsid w:val="0092216B"/>
    <w:rsid w:val="00947EF2"/>
    <w:rsid w:val="00954678"/>
    <w:rsid w:val="00962B34"/>
    <w:rsid w:val="00970673"/>
    <w:rsid w:val="009A31BD"/>
    <w:rsid w:val="009B4EF6"/>
    <w:rsid w:val="009E68EF"/>
    <w:rsid w:val="00A37EFB"/>
    <w:rsid w:val="00A55A32"/>
    <w:rsid w:val="00A62C8A"/>
    <w:rsid w:val="00AC360C"/>
    <w:rsid w:val="00AF49F3"/>
    <w:rsid w:val="00B02AE3"/>
    <w:rsid w:val="00B05EC9"/>
    <w:rsid w:val="00B36FD4"/>
    <w:rsid w:val="00B63381"/>
    <w:rsid w:val="00B7654D"/>
    <w:rsid w:val="00B90498"/>
    <w:rsid w:val="00B946BB"/>
    <w:rsid w:val="00B9751C"/>
    <w:rsid w:val="00BC0945"/>
    <w:rsid w:val="00BD62DE"/>
    <w:rsid w:val="00BE5C24"/>
    <w:rsid w:val="00C04378"/>
    <w:rsid w:val="00C07907"/>
    <w:rsid w:val="00C25CF6"/>
    <w:rsid w:val="00C75580"/>
    <w:rsid w:val="00C83643"/>
    <w:rsid w:val="00C9681A"/>
    <w:rsid w:val="00CA1B6F"/>
    <w:rsid w:val="00CB1D07"/>
    <w:rsid w:val="00CF1CA9"/>
    <w:rsid w:val="00D033E1"/>
    <w:rsid w:val="00D119BB"/>
    <w:rsid w:val="00D40144"/>
    <w:rsid w:val="00D5537C"/>
    <w:rsid w:val="00D65CDE"/>
    <w:rsid w:val="00E42D9C"/>
    <w:rsid w:val="00F30719"/>
    <w:rsid w:val="00F43073"/>
    <w:rsid w:val="00F450ED"/>
    <w:rsid w:val="00F51331"/>
    <w:rsid w:val="00F63466"/>
    <w:rsid w:val="00F82699"/>
    <w:rsid w:val="00F9212C"/>
    <w:rsid w:val="00FC6738"/>
    <w:rsid w:val="00FC6ADF"/>
    <w:rsid w:val="00FD2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455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14553"/>
    <w:pPr>
      <w:keepNext/>
      <w:outlineLvl w:val="0"/>
    </w:pPr>
    <w:rPr>
      <w:b/>
      <w:bCs/>
      <w:sz w:val="32"/>
    </w:rPr>
  </w:style>
  <w:style w:type="paragraph" w:styleId="Heading2">
    <w:name w:val="heading 2"/>
    <w:basedOn w:val="Normal"/>
    <w:next w:val="Normal"/>
    <w:qFormat/>
    <w:rsid w:val="00514553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14553"/>
    <w:pPr>
      <w:keepNext/>
      <w:numPr>
        <w:numId w:val="1"/>
      </w:numPr>
      <w:tabs>
        <w:tab w:val="clear" w:pos="1080"/>
        <w:tab w:val="num" w:pos="720"/>
      </w:tabs>
      <w:ind w:hanging="1080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14553"/>
    <w:pPr>
      <w:keepNext/>
      <w:numPr>
        <w:numId w:val="2"/>
      </w:numPr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14553"/>
    <w:pPr>
      <w:keepNext/>
      <w:ind w:left="720"/>
      <w:jc w:val="both"/>
      <w:outlineLvl w:val="4"/>
    </w:pPr>
    <w:rPr>
      <w:b/>
      <w:iCs/>
    </w:rPr>
  </w:style>
  <w:style w:type="paragraph" w:styleId="Heading6">
    <w:name w:val="heading 6"/>
    <w:basedOn w:val="Normal"/>
    <w:next w:val="Normal"/>
    <w:qFormat/>
    <w:rsid w:val="00514553"/>
    <w:pPr>
      <w:keepNext/>
      <w:tabs>
        <w:tab w:val="left" w:pos="2970"/>
      </w:tabs>
      <w:jc w:val="center"/>
      <w:outlineLvl w:val="5"/>
    </w:pPr>
    <w:rPr>
      <w:b/>
      <w:bCs/>
      <w:iCs/>
      <w:szCs w:val="28"/>
    </w:rPr>
  </w:style>
  <w:style w:type="paragraph" w:styleId="Heading7">
    <w:name w:val="heading 7"/>
    <w:basedOn w:val="Normal"/>
    <w:next w:val="Normal"/>
    <w:qFormat/>
    <w:rsid w:val="00514553"/>
    <w:pPr>
      <w:keepNext/>
      <w:outlineLvl w:val="6"/>
    </w:pPr>
    <w:rPr>
      <w:b/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1455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14553"/>
  </w:style>
  <w:style w:type="paragraph" w:styleId="BodyTextIndent">
    <w:name w:val="Body Text Indent"/>
    <w:basedOn w:val="Normal"/>
    <w:rsid w:val="00514553"/>
    <w:pPr>
      <w:ind w:left="360"/>
    </w:pPr>
    <w:rPr>
      <w:iCs/>
    </w:rPr>
  </w:style>
  <w:style w:type="paragraph" w:styleId="BodyTextIndent2">
    <w:name w:val="Body Text Indent 2"/>
    <w:basedOn w:val="Normal"/>
    <w:rsid w:val="00514553"/>
    <w:pPr>
      <w:ind w:left="720"/>
      <w:jc w:val="both"/>
    </w:pPr>
    <w:rPr>
      <w:bCs/>
      <w:iCs/>
    </w:rPr>
  </w:style>
  <w:style w:type="paragraph" w:styleId="BodyTextIndent3">
    <w:name w:val="Body Text Indent 3"/>
    <w:basedOn w:val="Normal"/>
    <w:rsid w:val="00514553"/>
    <w:pPr>
      <w:ind w:left="360"/>
      <w:jc w:val="both"/>
    </w:pPr>
    <w:rPr>
      <w:iCs/>
    </w:rPr>
  </w:style>
  <w:style w:type="paragraph" w:customStyle="1" w:styleId="Hangingindent1">
    <w:name w:val="Hanging indent 1"/>
    <w:basedOn w:val="Normal"/>
    <w:rsid w:val="0051455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160" w:lineRule="atLeast"/>
      <w:ind w:left="720" w:hanging="720"/>
      <w:jc w:val="both"/>
    </w:pPr>
    <w:rPr>
      <w:rFonts w:ascii="Courier" w:hAnsi="Courier"/>
      <w:sz w:val="22"/>
      <w:szCs w:val="20"/>
      <w:lang w:val="en-US"/>
    </w:rPr>
  </w:style>
  <w:style w:type="paragraph" w:styleId="BodyText">
    <w:name w:val="Body Text"/>
    <w:basedOn w:val="Normal"/>
    <w:rsid w:val="00AC360C"/>
    <w:pPr>
      <w:spacing w:after="120"/>
    </w:pPr>
  </w:style>
  <w:style w:type="table" w:styleId="TableGrid">
    <w:name w:val="Table Grid"/>
    <w:basedOn w:val="TableNormal"/>
    <w:rsid w:val="00AC36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hsbase">
    <w:name w:val="nhs_base"/>
    <w:basedOn w:val="Normal"/>
    <w:rsid w:val="00AC360C"/>
    <w:rPr>
      <w:rFonts w:ascii="Arial" w:eastAsia="Calibri" w:hAnsi="Arial"/>
      <w:kern w:val="16"/>
      <w:szCs w:val="20"/>
      <w:lang w:eastAsia="en-GB"/>
    </w:rPr>
  </w:style>
  <w:style w:type="paragraph" w:styleId="BalloonText">
    <w:name w:val="Balloon Text"/>
    <w:basedOn w:val="Normal"/>
    <w:link w:val="BalloonTextChar"/>
    <w:rsid w:val="006B02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0288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6B0288"/>
    <w:rPr>
      <w:b/>
      <w:bCs/>
      <w:sz w:val="32"/>
      <w:szCs w:val="24"/>
      <w:lang w:eastAsia="en-US"/>
    </w:rPr>
  </w:style>
  <w:style w:type="paragraph" w:styleId="Header">
    <w:name w:val="header"/>
    <w:basedOn w:val="Normal"/>
    <w:link w:val="HeaderChar"/>
    <w:rsid w:val="00D119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119BB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119BB"/>
    <w:rPr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D119BB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character" w:customStyle="1" w:styleId="TitleChar">
    <w:name w:val="Title Char"/>
    <w:basedOn w:val="DefaultParagraphFont"/>
    <w:link w:val="Title"/>
    <w:rsid w:val="00D119BB"/>
    <w:rPr>
      <w:b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64393-3D3A-4EE1-A376-45E693923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National Waiting Times Centre Board</vt:lpstr>
    </vt:vector>
  </TitlesOfParts>
  <Company>GJNH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 Waiting Times Centre Board</dc:title>
  <dc:creator>National Waiting Times Centre</dc:creator>
  <cp:lastModifiedBy>McGuinnessC1</cp:lastModifiedBy>
  <cp:revision>8</cp:revision>
  <cp:lastPrinted>2018-06-13T13:02:00Z</cp:lastPrinted>
  <dcterms:created xsi:type="dcterms:W3CDTF">2018-06-13T11:39:00Z</dcterms:created>
  <dcterms:modified xsi:type="dcterms:W3CDTF">2018-06-14T18:23:00Z</dcterms:modified>
</cp:coreProperties>
</file>